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9972" w14:textId="3BD55975" w:rsidR="00015A4C" w:rsidRPr="0049649C" w:rsidRDefault="00EE5F2F" w:rsidP="00015A4C">
      <w:pPr>
        <w:spacing w:after="120" w:line="480" w:lineRule="auto"/>
        <w:jc w:val="both"/>
        <w:outlineLvl w:val="0"/>
        <w:rPr>
          <w:rFonts w:ascii="Times New Roman" w:hAnsi="Times New Roman"/>
          <w:b/>
        </w:rPr>
      </w:pPr>
      <w:r w:rsidRPr="0049649C">
        <w:rPr>
          <w:rFonts w:ascii="Times New Roman" w:hAnsi="Times New Roman"/>
          <w:b/>
        </w:rPr>
        <w:t xml:space="preserve">Appendix </w:t>
      </w:r>
      <w:r w:rsidR="00673081">
        <w:rPr>
          <w:rFonts w:ascii="Times New Roman" w:hAnsi="Times New Roman"/>
          <w:b/>
        </w:rPr>
        <w:t>E</w:t>
      </w:r>
      <w:r w:rsidRPr="0049649C">
        <w:rPr>
          <w:rFonts w:ascii="Times New Roman" w:hAnsi="Times New Roman"/>
          <w:b/>
        </w:rPr>
        <w:t xml:space="preserve"> − </w:t>
      </w:r>
      <w:r w:rsidR="00015A4C" w:rsidRPr="00673081">
        <w:rPr>
          <w:rFonts w:ascii="Times New Roman" w:hAnsi="Times New Roman"/>
        </w:rPr>
        <w:t>Calibration and Analytical Uncertainty for Isotopic Measurements</w:t>
      </w:r>
    </w:p>
    <w:p w14:paraId="41AF6010" w14:textId="54591F58" w:rsidR="00015A4C" w:rsidRPr="0049649C" w:rsidRDefault="00015A4C" w:rsidP="00015A4C">
      <w:pPr>
        <w:spacing w:after="120"/>
        <w:jc w:val="both"/>
        <w:outlineLvl w:val="0"/>
        <w:rPr>
          <w:rFonts w:ascii="Times New Roman" w:hAnsi="Times New Roman"/>
        </w:rPr>
      </w:pPr>
      <w:r w:rsidRPr="0049649C">
        <w:rPr>
          <w:rFonts w:ascii="Times New Roman" w:hAnsi="Times New Roman"/>
        </w:rPr>
        <w:t xml:space="preserve">Carbon and nitrogen isotopic and elemental compositions were determined using </w:t>
      </w:r>
      <w:r w:rsidR="00DD3429" w:rsidRPr="0049649C">
        <w:rPr>
          <w:rFonts w:ascii="Times New Roman" w:hAnsi="Times New Roman"/>
        </w:rPr>
        <w:t>Thermo Delta V mass spectrometer coupled to a Costech ECS 4010 elemental analyzer in Lab Y</w:t>
      </w:r>
      <w:r w:rsidRPr="0049649C">
        <w:rPr>
          <w:rFonts w:ascii="Times New Roman" w:hAnsi="Times New Roman"/>
        </w:rPr>
        <w:t xml:space="preserve"> (</w:t>
      </w:r>
      <w:r w:rsidR="00DD3429" w:rsidRPr="0049649C">
        <w:rPr>
          <w:rFonts w:ascii="Times New Roman" w:hAnsi="Times New Roman"/>
        </w:rPr>
        <w:t>University X</w:t>
      </w:r>
      <w:r w:rsidRPr="0049649C">
        <w:rPr>
          <w:rFonts w:ascii="Times New Roman" w:hAnsi="Times New Roman"/>
        </w:rPr>
        <w:t xml:space="preserve">). </w:t>
      </w:r>
      <w:r w:rsidR="00DD3429" w:rsidRPr="0049649C">
        <w:rPr>
          <w:rFonts w:ascii="Times New Roman" w:hAnsi="Times New Roman"/>
        </w:rPr>
        <w:t>Stable carbon and nitrogen isotope compositions</w:t>
      </w:r>
      <w:r w:rsidRPr="0049649C">
        <w:rPr>
          <w:rFonts w:ascii="Times New Roman" w:hAnsi="Times New Roman"/>
        </w:rPr>
        <w:t xml:space="preserve"> were calibrated relative to VPDB (</w:t>
      </w:r>
      <w:r w:rsidRPr="0049649C">
        <w:rPr>
          <w:rFonts w:ascii="Times New Roman" w:hAnsi="Times New Roman"/>
          <w:i/>
        </w:rPr>
        <w:sym w:font="Symbol" w:char="F064"/>
      </w:r>
      <w:r w:rsidRPr="0049649C">
        <w:rPr>
          <w:rFonts w:ascii="Times New Roman" w:hAnsi="Times New Roman"/>
          <w:vertAlign w:val="superscript"/>
        </w:rPr>
        <w:t>13</w:t>
      </w:r>
      <w:r w:rsidRPr="0049649C">
        <w:rPr>
          <w:rFonts w:ascii="Times New Roman" w:hAnsi="Times New Roman"/>
        </w:rPr>
        <w:t>C) and AIR (</w:t>
      </w:r>
      <w:r w:rsidRPr="0049649C">
        <w:rPr>
          <w:rFonts w:ascii="Times New Roman" w:hAnsi="Times New Roman"/>
          <w:i/>
        </w:rPr>
        <w:sym w:font="Symbol" w:char="F064"/>
      </w:r>
      <w:r w:rsidRPr="0049649C">
        <w:rPr>
          <w:rFonts w:ascii="Times New Roman" w:hAnsi="Times New Roman"/>
          <w:vertAlign w:val="superscript"/>
        </w:rPr>
        <w:t>15</w:t>
      </w:r>
      <w:r w:rsidRPr="0049649C">
        <w:rPr>
          <w:rFonts w:ascii="Times New Roman" w:hAnsi="Times New Roman"/>
        </w:rPr>
        <w:t>N)</w:t>
      </w:r>
      <w:r w:rsidR="00DD3429" w:rsidRPr="0049649C">
        <w:rPr>
          <w:rFonts w:ascii="Times New Roman" w:hAnsi="Times New Roman"/>
        </w:rPr>
        <w:t xml:space="preserve"> using USGS40 and USGS41</w:t>
      </w:r>
      <w:r w:rsidRPr="0049649C">
        <w:rPr>
          <w:rFonts w:ascii="Times New Roman" w:hAnsi="Times New Roman"/>
        </w:rPr>
        <w:t xml:space="preserve"> </w:t>
      </w:r>
      <w:r w:rsidRPr="0049649C">
        <w:rPr>
          <w:rFonts w:ascii="Times New Roman" w:hAnsi="Times New Roman"/>
        </w:rPr>
        <w:fldChar w:fldCharType="begin"/>
      </w:r>
      <w:r w:rsidR="00E11CC0" w:rsidRPr="0049649C">
        <w:rPr>
          <w:rFonts w:ascii="Times New Roman" w:hAnsi="Times New Roman"/>
        </w:rPr>
        <w:instrText xml:space="preserve"> ADDIN EN.CITE &lt;EndNote&gt;&lt;Cite&gt;&lt;Author&gt;Qi&lt;/Author&gt;&lt;Year&gt;2003&lt;/Year&gt;&lt;RecNum&gt;8181&lt;/RecNum&gt;&lt;Prefix&gt;Table S1`; &lt;/Prefix&gt;&lt;DisplayText&gt;(Table S1; Qi&lt;style face="italic"&gt;, et al.&lt;/style&gt;, 2003)&lt;/DisplayText&gt;&lt;record&gt;&lt;rec-number&gt;8181&lt;/rec-number&gt;&lt;foreign-keys&gt;&lt;key app="EN" db-id="arpwdfwtmws9seez5wep555b95tt22w522te" timestamp="1303959097"&gt;8181&lt;/key&gt;&lt;/foreign-keys&gt;&lt;ref-type name="Journal Article"&gt;17&lt;/ref-type&gt;&lt;contributors&gt;&lt;authors&gt;&lt;author&gt;Qi, Haiping&lt;/author&gt;&lt;author&gt;Coplen, Tyler B.&lt;/author&gt;&lt;author&gt;Geilmann, Heike&lt;/author&gt;&lt;author&gt;Brand, Willi A.&lt;/author&gt;&lt;author&gt;Böhlke, J. K.&lt;/author&gt;&lt;/authors&gt;&lt;/contributors&gt;&lt;titles&gt;&lt;title&gt;&lt;style face="normal" font="default" size="100%"&gt;Two new organic reference materials for δ&lt;/style&gt;&lt;style face="superscript" font="default" size="100%"&gt;13&lt;/style&gt;&lt;style face="normal" font="default" size="100%"&gt;C and δ&lt;/style&gt;&lt;style face="superscript" font="default" size="100%"&gt;15&lt;/style&gt;&lt;style face="normal" font="default" size="100%"&gt;N measurements and a new value for the δ&lt;/style&gt;&lt;style face="superscript" font="default" size="100%"&gt;13&lt;/style&gt;&lt;style face="normal" font="default" size="100%"&gt;C of NBS 22 oil&lt;/style&gt;&lt;/title&gt;&lt;secondary-title&gt;Rapid Communications in Mass Spectrometry&lt;/secondary-title&gt;&lt;/titles&gt;&lt;periodical&gt;&lt;full-title&gt;Rapid Communications in Mass Spectrometry&lt;/full-title&gt;&lt;abbr-1&gt;Rapid Commun. Mass Spectrom.&lt;/abbr-1&gt;&lt;abbr-2&gt;Rapid Commun Mass Spectrom&lt;/abbr-2&gt;&lt;/periodical&gt;&lt;pages&gt;2483-2487&lt;/pages&gt;&lt;volume&gt;17&lt;/volume&gt;&lt;number&gt;22&lt;/number&gt;&lt;dates&gt;&lt;year&gt;2003&lt;/year&gt;&lt;/dates&gt;&lt;publisher&gt;John Wiley &amp;amp; Sons, Ltd.&lt;/publisher&gt;&lt;isbn&gt;1097-0231&lt;/isbn&gt;&lt;urls&gt;&lt;related-urls&gt;&lt;url&gt;http://dx.doi.org/10.1002/rcm.1219&lt;/url&gt;&lt;/related-urls&gt;&lt;/urls&gt;&lt;electronic-resource-num&gt;10.1002/rcm.1219&lt;/electronic-resource-num&gt;&lt;/record&gt;&lt;/Cite&gt;&lt;/EndNote&gt;</w:instrText>
      </w:r>
      <w:r w:rsidRPr="0049649C">
        <w:rPr>
          <w:rFonts w:ascii="Times New Roman" w:hAnsi="Times New Roman"/>
        </w:rPr>
        <w:fldChar w:fldCharType="separate"/>
      </w:r>
      <w:r w:rsidR="00E11CC0" w:rsidRPr="0049649C">
        <w:rPr>
          <w:rFonts w:ascii="Times New Roman" w:hAnsi="Times New Roman"/>
          <w:noProof/>
        </w:rPr>
        <w:t>(Table S1; Qi</w:t>
      </w:r>
      <w:r w:rsidR="00E11CC0" w:rsidRPr="0049649C">
        <w:rPr>
          <w:rFonts w:ascii="Times New Roman" w:hAnsi="Times New Roman"/>
          <w:i/>
          <w:noProof/>
        </w:rPr>
        <w:t>, et al.</w:t>
      </w:r>
      <w:r w:rsidR="00E11CC0" w:rsidRPr="0049649C">
        <w:rPr>
          <w:rFonts w:ascii="Times New Roman" w:hAnsi="Times New Roman"/>
          <w:noProof/>
        </w:rPr>
        <w:t>, 2003)</w:t>
      </w:r>
      <w:r w:rsidRPr="0049649C">
        <w:rPr>
          <w:rFonts w:ascii="Times New Roman" w:hAnsi="Times New Roman"/>
        </w:rPr>
        <w:fldChar w:fldCharType="end"/>
      </w:r>
      <w:r w:rsidRPr="0049649C">
        <w:rPr>
          <w:rFonts w:ascii="Times New Roman" w:hAnsi="Times New Roman"/>
        </w:rPr>
        <w:t xml:space="preserve">. </w:t>
      </w:r>
    </w:p>
    <w:p w14:paraId="000521C1" w14:textId="77777777" w:rsidR="00015A4C" w:rsidRPr="0049649C" w:rsidRDefault="00015A4C" w:rsidP="00015A4C">
      <w:pPr>
        <w:rPr>
          <w:rFonts w:ascii="Times New Roman" w:hAnsi="Times New Roman"/>
          <w:b/>
        </w:rPr>
      </w:pPr>
      <w:r w:rsidRPr="0049649C">
        <w:rPr>
          <w:rFonts w:ascii="Times New Roman" w:hAnsi="Times New Roman"/>
          <w:b/>
        </w:rPr>
        <w:t xml:space="preserve">Table S1. </w:t>
      </w:r>
      <w:r w:rsidRPr="0049649C">
        <w:rPr>
          <w:rFonts w:ascii="Times New Roman" w:hAnsi="Times New Roman"/>
        </w:rPr>
        <w:t xml:space="preserve">Standard reference materials used for calibration of </w:t>
      </w:r>
      <w:r w:rsidRPr="0049649C">
        <w:rPr>
          <w:rFonts w:ascii="Times New Roman" w:hAnsi="Times New Roman"/>
          <w:i/>
        </w:rPr>
        <w:sym w:font="Symbol" w:char="F064"/>
      </w:r>
      <w:r w:rsidRPr="0049649C">
        <w:rPr>
          <w:rFonts w:ascii="Times New Roman" w:hAnsi="Times New Roman"/>
          <w:vertAlign w:val="superscript"/>
        </w:rPr>
        <w:t>13</w:t>
      </w:r>
      <w:r w:rsidRPr="0049649C">
        <w:rPr>
          <w:rFonts w:ascii="Times New Roman" w:hAnsi="Times New Roman"/>
        </w:rPr>
        <w:t xml:space="preserve">C relative to VPDB and </w:t>
      </w:r>
      <w:r w:rsidRPr="0049649C">
        <w:rPr>
          <w:rFonts w:ascii="Times New Roman" w:hAnsi="Times New Roman"/>
          <w:i/>
        </w:rPr>
        <w:sym w:font="Symbol" w:char="F064"/>
      </w:r>
      <w:r w:rsidRPr="0049649C">
        <w:rPr>
          <w:rFonts w:ascii="Times New Roman" w:hAnsi="Times New Roman"/>
          <w:vertAlign w:val="superscript"/>
        </w:rPr>
        <w:t>15</w:t>
      </w:r>
      <w:r w:rsidRPr="0049649C">
        <w:rPr>
          <w:rFonts w:ascii="Times New Roman" w:hAnsi="Times New Roman"/>
        </w:rPr>
        <w:t>N relative to AIR.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055"/>
        <w:gridCol w:w="2056"/>
      </w:tblGrid>
      <w:tr w:rsidR="00015A4C" w:rsidRPr="0049649C" w14:paraId="0192DC38" w14:textId="77777777" w:rsidTr="00015A4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C97B8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Standard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546F0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Material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F2567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 xml:space="preserve">Accepted </w:t>
            </w:r>
            <w:r w:rsidRPr="0049649C">
              <w:rPr>
                <w:rFonts w:ascii="Times New Roman" w:hAnsi="Times New Roman"/>
                <w:i/>
              </w:rPr>
              <w:sym w:font="Symbol" w:char="F064"/>
            </w:r>
            <w:r w:rsidRPr="0049649C">
              <w:rPr>
                <w:rFonts w:ascii="Times New Roman" w:hAnsi="Times New Roman"/>
                <w:vertAlign w:val="superscript"/>
              </w:rPr>
              <w:t>13</w:t>
            </w:r>
            <w:r w:rsidRPr="0049649C">
              <w:rPr>
                <w:rFonts w:ascii="Times New Roman" w:hAnsi="Times New Roman"/>
              </w:rPr>
              <w:t xml:space="preserve">C </w:t>
            </w:r>
          </w:p>
          <w:p w14:paraId="604AAD71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(‰, VPDB)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BDC4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 xml:space="preserve">Accepted </w:t>
            </w:r>
            <w:r w:rsidRPr="0049649C">
              <w:rPr>
                <w:rFonts w:ascii="Times New Roman" w:hAnsi="Times New Roman"/>
                <w:i/>
              </w:rPr>
              <w:sym w:font="Symbol" w:char="F064"/>
            </w:r>
            <w:r w:rsidRPr="0049649C">
              <w:rPr>
                <w:rFonts w:ascii="Times New Roman" w:hAnsi="Times New Roman"/>
                <w:vertAlign w:val="superscript"/>
              </w:rPr>
              <w:t>15</w:t>
            </w:r>
            <w:r w:rsidRPr="0049649C">
              <w:rPr>
                <w:rFonts w:ascii="Times New Roman" w:hAnsi="Times New Roman"/>
              </w:rPr>
              <w:t xml:space="preserve">N </w:t>
            </w:r>
          </w:p>
          <w:p w14:paraId="3438C964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(‰, AIR)</w:t>
            </w:r>
          </w:p>
        </w:tc>
      </w:tr>
      <w:tr w:rsidR="00015A4C" w:rsidRPr="0049649C" w14:paraId="47B8358E" w14:textId="77777777" w:rsidTr="00015A4C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7A17107B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USGS40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1E02B1B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Glutamic Acid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6FE289E4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−26.389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0D0DCEC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−4.52</w:t>
            </w:r>
          </w:p>
        </w:tc>
      </w:tr>
      <w:tr w:rsidR="00015A4C" w:rsidRPr="0049649C" w14:paraId="5F755DDA" w14:textId="77777777" w:rsidTr="00015A4C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0EB710A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USGS41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5C480D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Glutamic Acid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644F622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+37.626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7EA372BB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+47.57</w:t>
            </w:r>
          </w:p>
        </w:tc>
      </w:tr>
    </w:tbl>
    <w:p w14:paraId="349E6005" w14:textId="77777777" w:rsidR="00015A4C" w:rsidRPr="0049649C" w:rsidRDefault="00015A4C" w:rsidP="00015A4C">
      <w:pPr>
        <w:spacing w:after="120"/>
        <w:jc w:val="both"/>
        <w:outlineLvl w:val="0"/>
        <w:rPr>
          <w:rFonts w:ascii="Times New Roman" w:hAnsi="Times New Roman"/>
        </w:rPr>
      </w:pPr>
    </w:p>
    <w:p w14:paraId="3AD661E7" w14:textId="5D1EC778" w:rsidR="00015A4C" w:rsidRPr="0049649C" w:rsidRDefault="00015A4C" w:rsidP="00015A4C">
      <w:pPr>
        <w:contextualSpacing/>
        <w:rPr>
          <w:rFonts w:ascii="Times New Roman" w:hAnsi="Times New Roman"/>
        </w:rPr>
      </w:pPr>
      <w:r w:rsidRPr="0049649C">
        <w:rPr>
          <w:rFonts w:ascii="Times New Roman" w:hAnsi="Times New Roman"/>
        </w:rPr>
        <w:t xml:space="preserve">The following standards were used to monitor </w:t>
      </w:r>
      <w:r w:rsidR="00DD3429" w:rsidRPr="0049649C">
        <w:rPr>
          <w:rFonts w:ascii="Times New Roman" w:hAnsi="Times New Roman"/>
        </w:rPr>
        <w:t>analytical uncertainty</w:t>
      </w:r>
      <w:r w:rsidRPr="0049649C">
        <w:rPr>
          <w:rFonts w:ascii="Times New Roman" w:hAnsi="Times New Roman"/>
        </w:rPr>
        <w:t xml:space="preserve"> (Table S2). The isotopic compositions reported here for internal standards represent long term averages calibrated to VPDB and AIR with USGS40 and USGS41.</w:t>
      </w:r>
    </w:p>
    <w:p w14:paraId="4D76BCB3" w14:textId="77777777" w:rsidR="00015A4C" w:rsidRPr="0049649C" w:rsidRDefault="00015A4C" w:rsidP="00015A4C">
      <w:pPr>
        <w:contextualSpacing/>
        <w:rPr>
          <w:rFonts w:ascii="Times New Roman" w:hAnsi="Times New Roman"/>
        </w:rPr>
      </w:pPr>
      <w:r w:rsidRPr="0049649C">
        <w:rPr>
          <w:rFonts w:ascii="Times New Roman" w:hAnsi="Times New Roman"/>
        </w:rPr>
        <w:t xml:space="preserve"> </w:t>
      </w:r>
    </w:p>
    <w:p w14:paraId="5F31FA70" w14:textId="77777777" w:rsidR="00015A4C" w:rsidRPr="0049649C" w:rsidRDefault="00015A4C" w:rsidP="00015A4C">
      <w:pPr>
        <w:rPr>
          <w:rFonts w:ascii="Times New Roman" w:hAnsi="Times New Roman"/>
          <w:b/>
        </w:rPr>
      </w:pPr>
      <w:r w:rsidRPr="0049649C">
        <w:rPr>
          <w:rFonts w:ascii="Times New Roman" w:hAnsi="Times New Roman"/>
          <w:b/>
        </w:rPr>
        <w:t xml:space="preserve">Table S3. </w:t>
      </w:r>
      <w:r w:rsidRPr="0049649C">
        <w:rPr>
          <w:rFonts w:ascii="Times New Roman" w:hAnsi="Times New Roman"/>
        </w:rPr>
        <w:t>Standard reference materials used for to monitor internal accuracy and precision.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2745"/>
        <w:gridCol w:w="2385"/>
        <w:gridCol w:w="1693"/>
      </w:tblGrid>
      <w:tr w:rsidR="00015A4C" w:rsidRPr="0049649C" w14:paraId="3A1F4901" w14:textId="77777777" w:rsidTr="00015A4C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18B9B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Standard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588E3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Material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11C33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 xml:space="preserve">Mean </w:t>
            </w:r>
            <w:r w:rsidRPr="0049649C">
              <w:rPr>
                <w:rFonts w:ascii="Times New Roman" w:hAnsi="Times New Roman"/>
                <w:i/>
              </w:rPr>
              <w:sym w:font="Symbol" w:char="F064"/>
            </w:r>
            <w:r w:rsidRPr="0049649C">
              <w:rPr>
                <w:rFonts w:ascii="Times New Roman" w:hAnsi="Times New Roman"/>
                <w:vertAlign w:val="superscript"/>
              </w:rPr>
              <w:t>13</w:t>
            </w:r>
            <w:r w:rsidRPr="0049649C">
              <w:rPr>
                <w:rFonts w:ascii="Times New Roman" w:hAnsi="Times New Roman"/>
              </w:rPr>
              <w:t xml:space="preserve">C </w:t>
            </w:r>
          </w:p>
          <w:p w14:paraId="593378B0" w14:textId="77777777" w:rsidR="00015A4C" w:rsidRPr="0049649C" w:rsidRDefault="00015A4C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(‰, VPDB)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DF91" w14:textId="77777777" w:rsidR="00015A4C" w:rsidRPr="0049649C" w:rsidRDefault="00015A4C" w:rsidP="00015A4C">
            <w:pPr>
              <w:ind w:right="-149"/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 xml:space="preserve">Mean </w:t>
            </w:r>
            <w:r w:rsidRPr="0049649C">
              <w:rPr>
                <w:rFonts w:ascii="Times New Roman" w:hAnsi="Times New Roman"/>
                <w:i/>
              </w:rPr>
              <w:sym w:font="Symbol" w:char="F064"/>
            </w:r>
            <w:r w:rsidRPr="0049649C">
              <w:rPr>
                <w:rFonts w:ascii="Times New Roman" w:hAnsi="Times New Roman"/>
                <w:vertAlign w:val="superscript"/>
              </w:rPr>
              <w:t>15</w:t>
            </w:r>
            <w:r w:rsidRPr="0049649C">
              <w:rPr>
                <w:rFonts w:ascii="Times New Roman" w:hAnsi="Times New Roman"/>
              </w:rPr>
              <w:t xml:space="preserve">N </w:t>
            </w:r>
          </w:p>
          <w:p w14:paraId="5DF2792B" w14:textId="77777777" w:rsidR="00015A4C" w:rsidRPr="0049649C" w:rsidRDefault="00015A4C" w:rsidP="00015A4C">
            <w:pPr>
              <w:ind w:right="-149"/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(‰, AIR)</w:t>
            </w:r>
          </w:p>
        </w:tc>
      </w:tr>
      <w:tr w:rsidR="00015A4C" w:rsidRPr="0049649C" w14:paraId="235F1595" w14:textId="77777777" w:rsidTr="00015A4C"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5D4071CB" w14:textId="7C49A30D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IRM-1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</w:tcPr>
          <w:p w14:paraId="0C5A6F10" w14:textId="22338EDD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Deer bone collagen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14:paraId="04636506" w14:textId="25FEE0DC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−19.28±0.07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14:paraId="74275119" w14:textId="6DEBD7B5" w:rsidR="00015A4C" w:rsidRPr="0049649C" w:rsidRDefault="00DD3429" w:rsidP="00015A4C">
            <w:pPr>
              <w:ind w:right="-149"/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+1.79±0.11</w:t>
            </w:r>
          </w:p>
        </w:tc>
      </w:tr>
      <w:tr w:rsidR="00015A4C" w:rsidRPr="0049649C" w14:paraId="33AC72BB" w14:textId="77777777" w:rsidTr="00015A4C">
        <w:tc>
          <w:tcPr>
            <w:tcW w:w="1474" w:type="dxa"/>
            <w:shd w:val="clear" w:color="auto" w:fill="auto"/>
          </w:tcPr>
          <w:p w14:paraId="71CC2A3F" w14:textId="3702E2CF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IRM-2</w:t>
            </w:r>
          </w:p>
        </w:tc>
        <w:tc>
          <w:tcPr>
            <w:tcW w:w="2745" w:type="dxa"/>
            <w:shd w:val="clear" w:color="auto" w:fill="auto"/>
          </w:tcPr>
          <w:p w14:paraId="407D97AA" w14:textId="2887B2A8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Sea lion</w:t>
            </w:r>
            <w:r w:rsidR="00015A4C" w:rsidRPr="0049649C">
              <w:rPr>
                <w:rFonts w:ascii="Times New Roman" w:hAnsi="Times New Roman"/>
              </w:rPr>
              <w:t xml:space="preserve"> bone collagen</w:t>
            </w:r>
          </w:p>
        </w:tc>
        <w:tc>
          <w:tcPr>
            <w:tcW w:w="2385" w:type="dxa"/>
            <w:shd w:val="clear" w:color="auto" w:fill="auto"/>
          </w:tcPr>
          <w:p w14:paraId="2D303A70" w14:textId="1EE80F6C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−11.59±0.08</w:t>
            </w:r>
          </w:p>
        </w:tc>
        <w:tc>
          <w:tcPr>
            <w:tcW w:w="1693" w:type="dxa"/>
            <w:shd w:val="clear" w:color="auto" w:fill="auto"/>
          </w:tcPr>
          <w:p w14:paraId="2E3EA0D2" w14:textId="2632F7F1" w:rsidR="00015A4C" w:rsidRPr="0049649C" w:rsidRDefault="00DD3429" w:rsidP="00015A4C">
            <w:pPr>
              <w:ind w:right="-149"/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+18.02±0.06</w:t>
            </w:r>
          </w:p>
        </w:tc>
      </w:tr>
      <w:tr w:rsidR="00015A4C" w:rsidRPr="0049649C" w14:paraId="7CBB3A91" w14:textId="77777777" w:rsidTr="00015A4C"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79BA2C9F" w14:textId="6CA8ECA4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IRM-3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14:paraId="764ED4E8" w14:textId="681CD79E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Cow</w:t>
            </w:r>
            <w:r w:rsidR="00015A4C" w:rsidRPr="0049649C">
              <w:rPr>
                <w:rFonts w:ascii="Times New Roman" w:hAnsi="Times New Roman"/>
              </w:rPr>
              <w:t xml:space="preserve"> bone collagen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14:paraId="494ABFF1" w14:textId="458C75E1" w:rsidR="00015A4C" w:rsidRPr="0049649C" w:rsidRDefault="00DD3429" w:rsidP="00015A4C">
            <w:pPr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−15.30±0.07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53B25D89" w14:textId="0213C0C2" w:rsidR="00015A4C" w:rsidRPr="0049649C" w:rsidRDefault="00DD3429" w:rsidP="00015A4C">
            <w:pPr>
              <w:ind w:right="-149"/>
              <w:contextualSpacing/>
              <w:rPr>
                <w:rFonts w:ascii="Times New Roman" w:hAnsi="Times New Roman"/>
              </w:rPr>
            </w:pPr>
            <w:r w:rsidRPr="0049649C">
              <w:rPr>
                <w:rFonts w:ascii="Times New Roman" w:hAnsi="Times New Roman"/>
              </w:rPr>
              <w:t>+9.62±0.10</w:t>
            </w:r>
          </w:p>
        </w:tc>
      </w:tr>
    </w:tbl>
    <w:p w14:paraId="35C2B8CC" w14:textId="77777777" w:rsidR="00015A4C" w:rsidRPr="0049649C" w:rsidRDefault="00015A4C" w:rsidP="00015A4C">
      <w:pPr>
        <w:contextualSpacing/>
        <w:rPr>
          <w:rFonts w:ascii="Times New Roman" w:hAnsi="Times New Roman"/>
        </w:rPr>
      </w:pPr>
    </w:p>
    <w:p w14:paraId="4AD68D98" w14:textId="50C7A3F9" w:rsidR="00DD3429" w:rsidRPr="0049649C" w:rsidRDefault="00DD3429" w:rsidP="00015A4C">
      <w:pPr>
        <w:contextualSpacing/>
        <w:rPr>
          <w:rFonts w:ascii="Times New Roman" w:hAnsi="Times New Roman"/>
        </w:rPr>
      </w:pPr>
      <w:r w:rsidRPr="0049649C">
        <w:rPr>
          <w:rFonts w:ascii="Times New Roman" w:hAnsi="Times New Roman"/>
        </w:rPr>
        <w:t xml:space="preserve">Table S4 presents the means and standard deviations of the </w:t>
      </w:r>
      <w:r w:rsidRPr="0049649C">
        <w:rPr>
          <w:rFonts w:ascii="Times New Roman" w:hAnsi="Times New Roman"/>
          <w:i/>
        </w:rPr>
        <w:t>δ</w:t>
      </w:r>
      <w:r w:rsidRPr="0049649C">
        <w:rPr>
          <w:rFonts w:ascii="Times New Roman" w:hAnsi="Times New Roman"/>
          <w:vertAlign w:val="superscript"/>
        </w:rPr>
        <w:t>13</w:t>
      </w:r>
      <w:r w:rsidRPr="0049649C">
        <w:rPr>
          <w:rFonts w:ascii="Times New Roman" w:hAnsi="Times New Roman"/>
        </w:rPr>
        <w:t xml:space="preserve">C and </w:t>
      </w:r>
      <w:r w:rsidRPr="0049649C">
        <w:rPr>
          <w:rFonts w:ascii="Times New Roman" w:hAnsi="Times New Roman"/>
          <w:i/>
        </w:rPr>
        <w:t>δ</w:t>
      </w:r>
      <w:r w:rsidRPr="0049649C">
        <w:rPr>
          <w:rFonts w:ascii="Times New Roman" w:hAnsi="Times New Roman"/>
          <w:vertAlign w:val="superscript"/>
        </w:rPr>
        <w:t>15</w:t>
      </w:r>
      <w:r w:rsidRPr="0049649C">
        <w:rPr>
          <w:rFonts w:ascii="Times New Roman" w:hAnsi="Times New Roman"/>
        </w:rPr>
        <w:t xml:space="preserve">N values for the check and calibration standards (standard deviations only) as well as the number of standards included in each analytical session. </w:t>
      </w:r>
      <w:r w:rsidR="0049649C" w:rsidRPr="0049649C">
        <w:rPr>
          <w:rFonts w:ascii="Times New Roman" w:hAnsi="Times New Roman"/>
        </w:rPr>
        <w:t>Of the basis of the check and calibration standards, m</w:t>
      </w:r>
      <w:r w:rsidR="0028562C" w:rsidRPr="0049649C">
        <w:rPr>
          <w:rFonts w:ascii="Times New Roman" w:hAnsi="Times New Roman"/>
        </w:rPr>
        <w:t xml:space="preserve">easurement precision (the pooled standard deviation of the check and calibration standards) was ±0.14 ‰ for </w:t>
      </w:r>
      <w:r w:rsidR="0028562C" w:rsidRPr="0049649C">
        <w:rPr>
          <w:rFonts w:ascii="Times New Roman" w:hAnsi="Times New Roman"/>
          <w:i/>
        </w:rPr>
        <w:t>δ</w:t>
      </w:r>
      <w:r w:rsidR="0028562C" w:rsidRPr="0049649C">
        <w:rPr>
          <w:rFonts w:ascii="Times New Roman" w:hAnsi="Times New Roman"/>
          <w:vertAlign w:val="superscript"/>
        </w:rPr>
        <w:t>13</w:t>
      </w:r>
      <w:r w:rsidR="0028562C" w:rsidRPr="0049649C">
        <w:rPr>
          <w:rFonts w:ascii="Times New Roman" w:hAnsi="Times New Roman"/>
        </w:rPr>
        <w:t xml:space="preserve">C and ±0.18 ‰ for </w:t>
      </w:r>
      <w:r w:rsidR="0028562C" w:rsidRPr="0049649C">
        <w:rPr>
          <w:rFonts w:ascii="Times New Roman" w:hAnsi="Times New Roman"/>
          <w:i/>
        </w:rPr>
        <w:t>δ</w:t>
      </w:r>
      <w:r w:rsidR="0028562C" w:rsidRPr="0049649C">
        <w:rPr>
          <w:rFonts w:ascii="Times New Roman" w:hAnsi="Times New Roman"/>
          <w:vertAlign w:val="superscript"/>
        </w:rPr>
        <w:t>15</w:t>
      </w:r>
      <w:r w:rsidR="0028562C" w:rsidRPr="0049649C">
        <w:rPr>
          <w:rFonts w:ascii="Times New Roman" w:hAnsi="Times New Roman"/>
        </w:rPr>
        <w:t>N (</w:t>
      </w:r>
      <w:proofErr w:type="spellStart"/>
      <w:r w:rsidR="0028562C" w:rsidRPr="0049649C">
        <w:rPr>
          <w:rFonts w:ascii="Times New Roman" w:hAnsi="Times New Roman"/>
          <w:i/>
        </w:rPr>
        <w:t>df</w:t>
      </w:r>
      <w:proofErr w:type="spellEnd"/>
      <w:r w:rsidR="0028562C" w:rsidRPr="0049649C">
        <w:rPr>
          <w:rFonts w:ascii="Times New Roman" w:hAnsi="Times New Roman"/>
        </w:rPr>
        <w:t xml:space="preserve">=62). </w:t>
      </w:r>
      <w:r w:rsidR="0049649C" w:rsidRPr="0049649C">
        <w:rPr>
          <w:rFonts w:ascii="Times New Roman" w:hAnsi="Times New Roman"/>
        </w:rPr>
        <w:t xml:space="preserve">Measurement accuracy (bias) was evaluated by comparing the known and measured </w:t>
      </w:r>
      <w:r w:rsidR="0049649C" w:rsidRPr="0049649C">
        <w:rPr>
          <w:rFonts w:ascii="Times New Roman" w:hAnsi="Times New Roman"/>
          <w:i/>
        </w:rPr>
        <w:t>δ</w:t>
      </w:r>
      <w:r w:rsidR="0049649C" w:rsidRPr="0049649C">
        <w:rPr>
          <w:rFonts w:ascii="Times New Roman" w:hAnsi="Times New Roman"/>
          <w:vertAlign w:val="superscript"/>
        </w:rPr>
        <w:t>13</w:t>
      </w:r>
      <w:r w:rsidR="0049649C" w:rsidRPr="0049649C">
        <w:rPr>
          <w:rFonts w:ascii="Times New Roman" w:hAnsi="Times New Roman"/>
        </w:rPr>
        <w:t xml:space="preserve">C and </w:t>
      </w:r>
      <w:r w:rsidR="0049649C" w:rsidRPr="0049649C">
        <w:rPr>
          <w:rFonts w:ascii="Times New Roman" w:hAnsi="Times New Roman"/>
          <w:i/>
        </w:rPr>
        <w:t>δ</w:t>
      </w:r>
      <w:r w:rsidR="0049649C" w:rsidRPr="0049649C">
        <w:rPr>
          <w:rFonts w:ascii="Times New Roman" w:hAnsi="Times New Roman"/>
          <w:vertAlign w:val="superscript"/>
        </w:rPr>
        <w:t>15</w:t>
      </w:r>
      <w:r w:rsidR="0049649C" w:rsidRPr="0049649C">
        <w:rPr>
          <w:rFonts w:ascii="Times New Roman" w:hAnsi="Times New Roman"/>
        </w:rPr>
        <w:t xml:space="preserve">N values for IRM-1, IRM-2, and IRM-3 and factoring in the long-term uncertainty in these known measurements following (Insert reference here). Measurement bias due to systematic error (accuracy) was determined to be ±0.11 ‰ for </w:t>
      </w:r>
      <w:r w:rsidR="0049649C" w:rsidRPr="0049649C">
        <w:rPr>
          <w:rFonts w:ascii="Times New Roman" w:hAnsi="Times New Roman"/>
          <w:i/>
        </w:rPr>
        <w:t>δ</w:t>
      </w:r>
      <w:r w:rsidR="0049649C" w:rsidRPr="0049649C">
        <w:rPr>
          <w:rFonts w:ascii="Times New Roman" w:hAnsi="Times New Roman"/>
          <w:vertAlign w:val="superscript"/>
        </w:rPr>
        <w:t>13</w:t>
      </w:r>
      <w:r w:rsidR="0049649C" w:rsidRPr="0049649C">
        <w:rPr>
          <w:rFonts w:ascii="Times New Roman" w:hAnsi="Times New Roman"/>
        </w:rPr>
        <w:t xml:space="preserve">C and ±0.10 ‰ for </w:t>
      </w:r>
      <w:r w:rsidR="0049649C" w:rsidRPr="0049649C">
        <w:rPr>
          <w:rFonts w:ascii="Times New Roman" w:hAnsi="Times New Roman"/>
          <w:i/>
        </w:rPr>
        <w:t>δ</w:t>
      </w:r>
      <w:r w:rsidR="0049649C" w:rsidRPr="0049649C">
        <w:rPr>
          <w:rFonts w:ascii="Times New Roman" w:hAnsi="Times New Roman"/>
          <w:vertAlign w:val="superscript"/>
        </w:rPr>
        <w:t>15</w:t>
      </w:r>
      <w:r w:rsidR="0049649C" w:rsidRPr="0049649C">
        <w:rPr>
          <w:rFonts w:ascii="Times New Roman" w:hAnsi="Times New Roman"/>
        </w:rPr>
        <w:t xml:space="preserve">N. </w:t>
      </w:r>
    </w:p>
    <w:p w14:paraId="0A384826" w14:textId="0381EDAA" w:rsidR="00583B8E" w:rsidRPr="0049649C" w:rsidRDefault="00583B8E" w:rsidP="00583B8E">
      <w:pPr>
        <w:pStyle w:val="Caption"/>
        <w:keepNext/>
        <w:spacing w:after="0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49649C">
        <w:rPr>
          <w:rFonts w:ascii="Times New Roman" w:hAnsi="Times New Roman"/>
          <w:color w:val="auto"/>
          <w:sz w:val="24"/>
          <w:szCs w:val="24"/>
        </w:rPr>
        <w:t xml:space="preserve">Table S4. </w:t>
      </w:r>
      <w:proofErr w:type="gramStart"/>
      <w:r w:rsidRPr="0049649C">
        <w:rPr>
          <w:rFonts w:ascii="Times New Roman" w:hAnsi="Times New Roman"/>
          <w:b w:val="0"/>
          <w:color w:val="auto"/>
          <w:sz w:val="24"/>
          <w:szCs w:val="24"/>
        </w:rPr>
        <w:t>Mean and standard deviation of all check and calibration standards for all analytical sessions containing data presented in this paper.</w:t>
      </w:r>
      <w:proofErr w:type="gramEnd"/>
      <w:r w:rsidRPr="0049649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348BB5" w14:textId="77777777" w:rsidR="00583B8E" w:rsidRPr="0049649C" w:rsidRDefault="00583B8E" w:rsidP="00583B8E">
      <w:pPr>
        <w:contextualSpacing/>
        <w:rPr>
          <w:rFonts w:ascii="Times New Roman" w:hAnsi="Times New Roman"/>
        </w:rPr>
      </w:pPr>
    </w:p>
    <w:tbl>
      <w:tblPr>
        <w:tblW w:w="7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4"/>
        <w:gridCol w:w="1666"/>
        <w:gridCol w:w="567"/>
        <w:gridCol w:w="1086"/>
        <w:gridCol w:w="284"/>
        <w:gridCol w:w="711"/>
        <w:gridCol w:w="995"/>
        <w:gridCol w:w="426"/>
        <w:gridCol w:w="712"/>
      </w:tblGrid>
      <w:tr w:rsidR="00583B8E" w:rsidRPr="0049649C" w14:paraId="5D739108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778A" w14:textId="169C6741" w:rsidR="00583B8E" w:rsidRPr="0049649C" w:rsidRDefault="00245868" w:rsidP="00583B8E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49649C">
              <w:rPr>
                <w:rFonts w:ascii="Times New Roman" w:hAnsi="Times New Roman"/>
                <w:b/>
                <w:bCs/>
                <w:color w:val="000000"/>
              </w:rPr>
              <w:t>Session ID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2B4" w14:textId="77777777" w:rsidR="00583B8E" w:rsidRPr="0049649C" w:rsidRDefault="00583B8E" w:rsidP="00583B8E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49649C">
              <w:rPr>
                <w:rFonts w:ascii="Times New Roman" w:hAnsi="Times New Roman"/>
                <w:b/>
                <w:bCs/>
                <w:color w:val="000000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9BF" w14:textId="77777777" w:rsidR="00583B8E" w:rsidRPr="0049649C" w:rsidRDefault="00583B8E" w:rsidP="00583B8E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49649C">
              <w:rPr>
                <w:rFonts w:ascii="Times New Roman" w:hAnsi="Times New Roman"/>
                <w:b/>
                <w:bCs/>
                <w:color w:val="000000"/>
              </w:rPr>
              <w:t>n</w:t>
            </w:r>
            <w:proofErr w:type="gram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3BB" w14:textId="77777777" w:rsidR="00583B8E" w:rsidRPr="0049649C" w:rsidRDefault="00583B8E" w:rsidP="00583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9649C">
              <w:rPr>
                <w:rFonts w:ascii="Times New Roman" w:hAnsi="Times New Roman"/>
                <w:b/>
                <w:bCs/>
                <w:i/>
                <w:iCs/>
              </w:rPr>
              <w:t>δ</w:t>
            </w:r>
            <w:r w:rsidRPr="0049649C">
              <w:rPr>
                <w:rFonts w:ascii="Times New Roman" w:hAnsi="Times New Roman"/>
                <w:b/>
                <w:bCs/>
                <w:vertAlign w:val="superscript"/>
              </w:rPr>
              <w:t>13</w:t>
            </w:r>
            <w:r w:rsidRPr="0049649C">
              <w:rPr>
                <w:rFonts w:ascii="Times New Roman" w:hAnsi="Times New Roman"/>
                <w:b/>
                <w:bCs/>
              </w:rPr>
              <w:t>C (‰, VPDB)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3A0" w14:textId="77777777" w:rsidR="00583B8E" w:rsidRPr="0049649C" w:rsidRDefault="00583B8E" w:rsidP="00583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9649C">
              <w:rPr>
                <w:rFonts w:ascii="Times New Roman" w:hAnsi="Times New Roman"/>
                <w:b/>
                <w:bCs/>
                <w:i/>
                <w:iCs/>
              </w:rPr>
              <w:t>δ</w:t>
            </w:r>
            <w:r w:rsidRPr="0049649C">
              <w:rPr>
                <w:rFonts w:ascii="Times New Roman" w:hAnsi="Times New Roman"/>
                <w:b/>
                <w:bCs/>
                <w:vertAlign w:val="superscript"/>
              </w:rPr>
              <w:t>15</w:t>
            </w:r>
            <w:r w:rsidRPr="0049649C">
              <w:rPr>
                <w:rFonts w:ascii="Times New Roman" w:hAnsi="Times New Roman"/>
                <w:b/>
                <w:bCs/>
              </w:rPr>
              <w:t>N (‰, AIR)</w:t>
            </w:r>
          </w:p>
        </w:tc>
      </w:tr>
      <w:tr w:rsidR="00583B8E" w:rsidRPr="0049649C" w14:paraId="58D6E8A4" w14:textId="77777777" w:rsidTr="00DD3429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CCEE" w14:textId="2079362C" w:rsidR="00583B8E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84F3" w14:textId="6393B546" w:rsidR="00583B8E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USGS40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ADA" w14:textId="5F89E7E0" w:rsidR="00583B8E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6483E" w14:textId="74BC9D8D" w:rsidR="00583B8E" w:rsidRPr="0049649C" w:rsidRDefault="00583B8E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2B18" w14:textId="77777777" w:rsidR="00583B8E" w:rsidRPr="0049649C" w:rsidRDefault="00583B8E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16E1" w14:textId="4936BD92" w:rsidR="00583B8E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8370" w14:textId="77777777" w:rsidR="00583B8E" w:rsidRPr="0049649C" w:rsidRDefault="00583B8E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4764" w14:textId="0010306B" w:rsidR="00583B8E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9C9" w14:textId="081E2CE0" w:rsidR="00583B8E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</w:tr>
      <w:tr w:rsidR="00DD3429" w:rsidRPr="0049649C" w14:paraId="58CE1D87" w14:textId="77777777" w:rsidTr="00DD3429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8E6" w14:textId="08A81F6D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9EC" w14:textId="1D41A709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USGS40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8875" w14:textId="0C011E02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1D369" w14:textId="02F525A2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33FE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0BC" w14:textId="0698242A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4D7DA" w14:textId="79010FD0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B431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827" w14:textId="2475187F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</w:tr>
      <w:tr w:rsidR="00DD3429" w:rsidRPr="0049649C" w14:paraId="7F30FF4E" w14:textId="77777777" w:rsidTr="00DD3429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AA51" w14:textId="4E7BB610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34E" w14:textId="139A35BF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USGS41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72C" w14:textId="77777777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5E2AD" w14:textId="11B171A0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C975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9B4" w14:textId="1F63E11E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FACF4" w14:textId="38C89F4A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002E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D77" w14:textId="77777777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</w:tr>
      <w:tr w:rsidR="00DD3429" w:rsidRPr="0049649C" w14:paraId="3D255858" w14:textId="77777777" w:rsidTr="00DD3429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291" w14:textId="73A60906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48A2" w14:textId="0454A74D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USGS41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564" w14:textId="7EC5CB35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86E71" w14:textId="5F60BC53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B8F9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ECB8" w14:textId="77777777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31486" w14:textId="0393B620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5609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CC4" w14:textId="2B0BA68C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</w:tr>
      <w:tr w:rsidR="00DD3429" w:rsidRPr="0049649C" w14:paraId="6C5B9FD5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A33" w14:textId="13A2BFD5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lastRenderedPageBreak/>
              <w:t>Session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2564" w14:textId="0B1B312F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IRM-1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F27" w14:textId="77777777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135A" w14:textId="742CBFF1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-19.34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4B07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EB2B" w14:textId="08DA75BA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76C2" w14:textId="2D507AA1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1.72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F2C7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341" w14:textId="70F35B76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</w:tr>
      <w:tr w:rsidR="00DD3429" w:rsidRPr="0049649C" w14:paraId="64B4C9E4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ABD0" w14:textId="2FE95A78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0BB" w14:textId="39761CC3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IRM-1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2A6" w14:textId="0FF0C99B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48F1" w14:textId="649CB23C" w:rsidR="00DD3429" w:rsidRPr="0049649C" w:rsidRDefault="00DD3429" w:rsidP="00DD3429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-19.20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08D6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7EE" w14:textId="4B05C98A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854C" w14:textId="5570246D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1.74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AB84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145" w14:textId="11FCE328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</w:tr>
      <w:tr w:rsidR="00DD3429" w:rsidRPr="0049649C" w14:paraId="1D464AE2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A44" w14:textId="098226EC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E88" w14:textId="6C04F092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IRM-2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5192" w14:textId="0C5FF49E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4C25" w14:textId="1471E2CD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-11.63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FF5E5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C7C" w14:textId="227C86ED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D706" w14:textId="051B53D2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17.94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E330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7264" w14:textId="6AA4DE26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</w:tr>
      <w:tr w:rsidR="00DD3429" w:rsidRPr="0049649C" w14:paraId="44A7E582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90CD" w14:textId="03A57F6F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3FF" w14:textId="2794B315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IRM-2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170" w14:textId="77C6BB0E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4CA6" w14:textId="2A17F8B8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-11.44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304F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FC6C" w14:textId="2FD04AFB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9E23" w14:textId="247E18F0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18.01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9BED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AC8F" w14:textId="4CE6D309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</w:tr>
      <w:tr w:rsidR="00DD3429" w:rsidRPr="0049649C" w14:paraId="717137F3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3EE" w14:textId="470B2E37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6B24" w14:textId="357140A4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IRM-3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3AE" w14:textId="71769DD6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50F1" w14:textId="3E6F0EC4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-15.27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E226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B946" w14:textId="188D94F9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9ABA" w14:textId="607E4D74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9.62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CBC7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7505" w14:textId="43EDA8E9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</w:tr>
      <w:tr w:rsidR="00DD3429" w:rsidRPr="0049649C" w14:paraId="3FDD3E3D" w14:textId="77777777" w:rsidTr="00474410">
        <w:trPr>
          <w:trHeight w:val="3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E4A" w14:textId="70022BAE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Session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DDA" w14:textId="583F9158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IRM-3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3D1" w14:textId="7537B235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A56E" w14:textId="48E7EA12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-15.24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3D65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856" w14:textId="02946443" w:rsidR="00DD3429" w:rsidRPr="0049649C" w:rsidRDefault="00DD3429" w:rsidP="00DD34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239E" w14:textId="5DF3AC78" w:rsidR="00DD3429" w:rsidRPr="0049649C" w:rsidRDefault="00DD3429" w:rsidP="00583B8E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9.65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3F4A" w14:textId="77777777" w:rsidR="00DD3429" w:rsidRPr="0049649C" w:rsidRDefault="00DD3429" w:rsidP="00583B8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color w:val="000000"/>
              </w:rPr>
              <w:t>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A06" w14:textId="3475C475" w:rsidR="00DD3429" w:rsidRPr="0049649C" w:rsidRDefault="00DD3429" w:rsidP="00583B8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</w:tr>
    </w:tbl>
    <w:p w14:paraId="13947D51" w14:textId="77777777" w:rsidR="0028562C" w:rsidRPr="0049649C" w:rsidRDefault="0028562C" w:rsidP="006C3804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</w:rPr>
      </w:pPr>
    </w:p>
    <w:p w14:paraId="0D661010" w14:textId="643CC3A4" w:rsidR="006F4155" w:rsidRDefault="0028562C" w:rsidP="0028562C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</w:rPr>
      </w:pPr>
      <w:r w:rsidRPr="0049649C">
        <w:rPr>
          <w:rFonts w:ascii="Times New Roman" w:hAnsi="Times New Roman"/>
          <w:b w:val="0"/>
          <w:color w:val="auto"/>
          <w:sz w:val="24"/>
          <w:szCs w:val="24"/>
        </w:rPr>
        <w:t>Ten percent of the samples were analyzed in duplicate (</w:t>
      </w:r>
      <w:r w:rsidR="00315D10" w:rsidRPr="0049649C">
        <w:rPr>
          <w:rFonts w:ascii="Times New Roman" w:hAnsi="Times New Roman"/>
          <w:b w:val="0"/>
          <w:color w:val="auto"/>
          <w:sz w:val="24"/>
          <w:szCs w:val="24"/>
        </w:rPr>
        <w:t>18</w:t>
      </w:r>
      <w:r w:rsidRPr="0049649C">
        <w:rPr>
          <w:rFonts w:ascii="Times New Roman" w:hAnsi="Times New Roman"/>
          <w:b w:val="0"/>
          <w:color w:val="auto"/>
          <w:sz w:val="24"/>
          <w:szCs w:val="24"/>
        </w:rPr>
        <w:t>/176)</w:t>
      </w:r>
      <w:r w:rsidR="00B40DBA">
        <w:rPr>
          <w:rFonts w:ascii="Times New Roman" w:hAnsi="Times New Roman"/>
          <w:b w:val="0"/>
          <w:color w:val="auto"/>
          <w:sz w:val="24"/>
          <w:szCs w:val="24"/>
        </w:rPr>
        <w:t>, the results of which are presented in Table S5</w:t>
      </w:r>
      <w:r w:rsidRPr="0049649C">
        <w:rPr>
          <w:rFonts w:ascii="Times New Roman" w:hAnsi="Times New Roman"/>
          <w:b w:val="0"/>
          <w:color w:val="auto"/>
          <w:sz w:val="24"/>
          <w:szCs w:val="24"/>
        </w:rPr>
        <w:t xml:space="preserve">. The measurement precision specific to the samples (the pooled standard deviation of all samples analyzed in duplicate) was ±0.14 ‰ for </w:t>
      </w:r>
      <w:r w:rsidRPr="0049649C">
        <w:rPr>
          <w:rFonts w:ascii="Times New Roman" w:hAnsi="Times New Roman"/>
          <w:b w:val="0"/>
          <w:i/>
          <w:color w:val="auto"/>
          <w:sz w:val="24"/>
          <w:szCs w:val="24"/>
        </w:rPr>
        <w:t>δ</w:t>
      </w:r>
      <w:r w:rsidRPr="0049649C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13</w:t>
      </w:r>
      <w:r w:rsidRPr="0049649C">
        <w:rPr>
          <w:rFonts w:ascii="Times New Roman" w:hAnsi="Times New Roman"/>
          <w:b w:val="0"/>
          <w:color w:val="auto"/>
          <w:sz w:val="24"/>
          <w:szCs w:val="24"/>
        </w:rPr>
        <w:t xml:space="preserve">C and </w:t>
      </w:r>
      <w:r w:rsidRPr="0049649C">
        <w:rPr>
          <w:rFonts w:ascii="Times New Roman" w:hAnsi="Times New Roman"/>
          <w:b w:val="0"/>
          <w:i/>
          <w:color w:val="auto"/>
          <w:sz w:val="24"/>
          <w:szCs w:val="24"/>
        </w:rPr>
        <w:t>δ</w:t>
      </w:r>
      <w:r w:rsidRPr="0049649C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15</w:t>
      </w:r>
      <w:r w:rsidRPr="0049649C">
        <w:rPr>
          <w:rFonts w:ascii="Times New Roman" w:hAnsi="Times New Roman"/>
          <w:b w:val="0"/>
          <w:color w:val="auto"/>
          <w:sz w:val="24"/>
          <w:szCs w:val="24"/>
        </w:rPr>
        <w:t>N (</w:t>
      </w:r>
      <w:proofErr w:type="spellStart"/>
      <w:r w:rsidRPr="0049649C">
        <w:rPr>
          <w:rFonts w:ascii="Times New Roman" w:hAnsi="Times New Roman"/>
          <w:b w:val="0"/>
          <w:i/>
          <w:color w:val="auto"/>
          <w:sz w:val="24"/>
          <w:szCs w:val="24"/>
        </w:rPr>
        <w:t>df</w:t>
      </w:r>
      <w:proofErr w:type="spellEnd"/>
      <w:r w:rsidRPr="0049649C">
        <w:rPr>
          <w:rFonts w:ascii="Times New Roman" w:hAnsi="Times New Roman"/>
          <w:b w:val="0"/>
          <w:color w:val="auto"/>
          <w:sz w:val="24"/>
          <w:szCs w:val="24"/>
        </w:rPr>
        <w:t xml:space="preserve">=18). </w:t>
      </w:r>
    </w:p>
    <w:p w14:paraId="1477AC7A" w14:textId="714EC661" w:rsidR="00B40DBA" w:rsidRPr="0049649C" w:rsidRDefault="00B40DBA" w:rsidP="00B40DBA">
      <w:pPr>
        <w:pStyle w:val="Caption"/>
        <w:keepNext/>
        <w:spacing w:after="0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49649C">
        <w:rPr>
          <w:rFonts w:ascii="Times New Roman" w:hAnsi="Times New Roman"/>
          <w:color w:val="auto"/>
          <w:sz w:val="24"/>
          <w:szCs w:val="24"/>
        </w:rPr>
        <w:t>Table S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49649C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Stable carbon </w:t>
      </w:r>
      <w:r w:rsidRPr="00B40DBA">
        <w:rPr>
          <w:rFonts w:ascii="Times New Roman" w:hAnsi="Times New Roman"/>
          <w:b w:val="0"/>
          <w:color w:val="auto"/>
          <w:sz w:val="24"/>
          <w:szCs w:val="24"/>
        </w:rPr>
        <w:t>and nitrogen isotopic compositions for all samples analyzed in duplicate</w:t>
      </w:r>
      <w:r w:rsidR="00303792">
        <w:rPr>
          <w:rFonts w:ascii="Times New Roman" w:hAnsi="Times New Roman"/>
          <w:b w:val="0"/>
          <w:color w:val="auto"/>
          <w:sz w:val="24"/>
          <w:szCs w:val="24"/>
        </w:rPr>
        <w:t xml:space="preserve">. “A” and “B” correspond to Session 1 and Session 2, respectively. </w:t>
      </w:r>
      <w:bookmarkStart w:id="0" w:name="_GoBack"/>
      <w:bookmarkEnd w:id="0"/>
      <w:r w:rsidRPr="00B40DB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4E207792" w14:textId="77777777" w:rsidR="00B40DBA" w:rsidRPr="0049649C" w:rsidRDefault="00B40DBA" w:rsidP="00B40DBA">
      <w:pPr>
        <w:contextualSpacing/>
        <w:rPr>
          <w:rFonts w:ascii="Times New Roman" w:hAnsi="Times New Roman"/>
        </w:rPr>
      </w:pP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04"/>
        <w:gridCol w:w="1205"/>
        <w:gridCol w:w="1205"/>
        <w:gridCol w:w="1205"/>
      </w:tblGrid>
      <w:tr w:rsidR="00303792" w:rsidRPr="0049649C" w14:paraId="7276F903" w14:textId="16A2C5F2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6C2E" w14:textId="6B56C1F7" w:rsidR="00303792" w:rsidRPr="00B40DBA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B40DBA">
              <w:rPr>
                <w:rFonts w:ascii="Times New Roman" w:eastAsia="Times New Roman" w:hAnsi="Times New Roman"/>
                <w:b/>
                <w:color w:val="000000"/>
              </w:rPr>
              <w:t>Sample ID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60796" w14:textId="463091C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b/>
                <w:bCs/>
                <w:i/>
                <w:iCs/>
              </w:rPr>
              <w:t>δ</w:t>
            </w:r>
            <w:r w:rsidRPr="0049649C">
              <w:rPr>
                <w:rFonts w:ascii="Times New Roman" w:hAnsi="Times New Roman"/>
                <w:b/>
                <w:bCs/>
                <w:vertAlign w:val="superscript"/>
              </w:rPr>
              <w:t>13</w:t>
            </w:r>
            <w:r w:rsidRPr="0049649C">
              <w:rPr>
                <w:rFonts w:ascii="Times New Roman" w:hAnsi="Times New Roman"/>
                <w:b/>
                <w:bCs/>
              </w:rPr>
              <w:t>C</w:t>
            </w:r>
            <w:r w:rsidRPr="00B40DBA">
              <w:rPr>
                <w:rFonts w:ascii="Times New Roman" w:hAnsi="Times New Roman"/>
                <w:b/>
                <w:bCs/>
                <w:vertAlign w:val="subscript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EE65" w14:textId="7DCB105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b/>
                <w:bCs/>
                <w:i/>
                <w:iCs/>
              </w:rPr>
              <w:t>δ</w:t>
            </w:r>
            <w:r w:rsidRPr="0049649C">
              <w:rPr>
                <w:rFonts w:ascii="Times New Roman" w:hAnsi="Times New Roman"/>
                <w:b/>
                <w:bCs/>
                <w:vertAlign w:val="superscript"/>
              </w:rPr>
              <w:t>13</w:t>
            </w:r>
            <w:r w:rsidRPr="0049649C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578E" w14:textId="21ADF67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b/>
                <w:bCs/>
                <w:i/>
                <w:iCs/>
              </w:rPr>
              <w:t>δ</w:t>
            </w:r>
            <w:r w:rsidRPr="0049649C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N</w:t>
            </w:r>
            <w:r w:rsidRPr="00B40DBA">
              <w:rPr>
                <w:rFonts w:ascii="Times New Roman" w:hAnsi="Times New Roman"/>
                <w:b/>
                <w:bCs/>
                <w:vertAlign w:val="subscript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BA4" w14:textId="6EB6506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49649C">
              <w:rPr>
                <w:rFonts w:ascii="Times New Roman" w:hAnsi="Times New Roman"/>
                <w:b/>
                <w:bCs/>
                <w:i/>
                <w:iCs/>
              </w:rPr>
              <w:t>δ</w:t>
            </w:r>
            <w:r w:rsidRPr="0049649C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B</w:t>
            </w:r>
          </w:p>
        </w:tc>
      </w:tr>
      <w:tr w:rsidR="00303792" w:rsidRPr="0049649C" w14:paraId="2E0BBC7C" w14:textId="2F84D6B4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8A55" w14:textId="4766BFA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1067E" w14:textId="4BD26C2A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-19.36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DDB" w14:textId="628C579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-19.52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7C1B" w14:textId="0F68F55B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068D" w14:textId="1374B66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4.12</w:t>
            </w:r>
          </w:p>
        </w:tc>
      </w:tr>
      <w:tr w:rsidR="00303792" w:rsidRPr="0049649C" w14:paraId="6A81CA96" w14:textId="6D1DD69F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696" w14:textId="4DD5CB3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0FC77" w14:textId="1DE3040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-16.98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9A24" w14:textId="291E8013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-16.76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DC9" w14:textId="409FD35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EC49" w14:textId="0CDBECD3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8.87</w:t>
            </w:r>
          </w:p>
        </w:tc>
      </w:tr>
      <w:tr w:rsidR="00303792" w:rsidRPr="0049649C" w14:paraId="010B8613" w14:textId="48F6E904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F1F" w14:textId="1BC0B150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40394" w14:textId="4A5F0FD2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B6A" w14:textId="3BEEC940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CEC9" w14:textId="6BCA2D2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412" w14:textId="159670C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8.11</w:t>
            </w:r>
          </w:p>
        </w:tc>
      </w:tr>
      <w:tr w:rsidR="00303792" w:rsidRPr="0049649C" w14:paraId="314C185A" w14:textId="59FA1AE4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809" w14:textId="58C1CAE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27234" w14:textId="1D93106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-16.94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9182" w14:textId="2DE960F7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-16.90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35A" w14:textId="5DFB82F5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8B3" w14:textId="58F6F50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7.91</w:t>
            </w:r>
          </w:p>
        </w:tc>
      </w:tr>
      <w:tr w:rsidR="00303792" w:rsidRPr="0049649C" w14:paraId="1949EB6B" w14:textId="26606FED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546" w14:textId="2556577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2127" w14:textId="669113E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440" w14:textId="64F8E94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120" w14:textId="53FAF8D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31A" w14:textId="1FA4463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9.74</w:t>
            </w:r>
          </w:p>
        </w:tc>
      </w:tr>
      <w:tr w:rsidR="00303792" w:rsidRPr="0049649C" w14:paraId="417C6531" w14:textId="490AB49C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565B" w14:textId="723B1DA8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CC35" w14:textId="1ADC68E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DD81" w14:textId="59A65BF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5F1" w14:textId="7A07BBA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4B7" w14:textId="6BF5B5D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10.08</w:t>
            </w:r>
          </w:p>
        </w:tc>
      </w:tr>
      <w:tr w:rsidR="00303792" w:rsidRPr="0049649C" w14:paraId="3EA11ED2" w14:textId="61FD729C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7C18" w14:textId="03CA6AD2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5605" w14:textId="08DB28F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B97" w14:textId="02C3F1DA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74E" w14:textId="159326AE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EEB4" w14:textId="12AE1D3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10.88</w:t>
            </w:r>
          </w:p>
        </w:tc>
      </w:tr>
      <w:tr w:rsidR="00303792" w:rsidRPr="0049649C" w14:paraId="5E9C11D8" w14:textId="734D446A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7D16" w14:textId="154252F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6EFC" w14:textId="2BC6722E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A04" w14:textId="4A81E8A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794" w14:textId="283D89D8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796" w14:textId="5F07466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8.25</w:t>
            </w:r>
          </w:p>
        </w:tc>
      </w:tr>
      <w:tr w:rsidR="00303792" w:rsidRPr="0049649C" w14:paraId="61D06F24" w14:textId="0AE8AEB3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1A70" w14:textId="5AC5859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EB0A" w14:textId="1C2B9F0B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63E" w14:textId="0713BE4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425" w14:textId="69C5257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57D" w14:textId="40199AE3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4.64</w:t>
            </w:r>
          </w:p>
        </w:tc>
      </w:tr>
      <w:tr w:rsidR="00303792" w:rsidRPr="0049649C" w14:paraId="4FA11116" w14:textId="005B7FFD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3F35" w14:textId="3157C7EA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CB86F" w14:textId="0F9D207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4E8A" w14:textId="19F45C5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AA2" w14:textId="5A63A46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E20" w14:textId="5836870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9.45</w:t>
            </w:r>
          </w:p>
        </w:tc>
      </w:tr>
      <w:tr w:rsidR="00303792" w:rsidRPr="0049649C" w14:paraId="67FCF8B1" w14:textId="16521D09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5334" w14:textId="3EE7CFB2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9E667" w14:textId="5E17AE90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-15.65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E8A3" w14:textId="4D90AE6B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-16.00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2B9" w14:textId="319C27D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2045" w14:textId="455DE58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10.45</w:t>
            </w:r>
          </w:p>
        </w:tc>
      </w:tr>
      <w:tr w:rsidR="00303792" w:rsidRPr="0049649C" w14:paraId="0937A724" w14:textId="511DED54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816E" w14:textId="3E3AD42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B3EB7" w14:textId="71E9451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BFBC" w14:textId="1D0C5F4C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4D30" w14:textId="09241DE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05A0" w14:textId="575C17F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7.65</w:t>
            </w:r>
          </w:p>
        </w:tc>
      </w:tr>
      <w:tr w:rsidR="00303792" w:rsidRPr="0049649C" w14:paraId="34C65B78" w14:textId="583359EA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95B3" w14:textId="030F4D4C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1A4F5" w14:textId="7D1520CA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-16.88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15EF" w14:textId="2E97F0D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DE0" w14:textId="598C08A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239" w14:textId="6936118B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8.60</w:t>
            </w:r>
          </w:p>
        </w:tc>
      </w:tr>
      <w:tr w:rsidR="00303792" w:rsidRPr="0049649C" w14:paraId="56AE807B" w14:textId="2B931442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C081" w14:textId="2C3877C2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6122" w14:textId="62EB2757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-21.03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D802" w14:textId="2AA9BCD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-21.36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9C4" w14:textId="4AAA99E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B88" w14:textId="0D4A925C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8.12</w:t>
            </w:r>
          </w:p>
        </w:tc>
      </w:tr>
      <w:tr w:rsidR="00303792" w:rsidRPr="0049649C" w14:paraId="48EA95F7" w14:textId="0B063D3D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D05" w14:textId="4F2AE49A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D177" w14:textId="3E63B6C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-20.76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23C" w14:textId="1171ABB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-20.50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6B4" w14:textId="4B8186D7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835" w14:textId="0BCD9F13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8.35</w:t>
            </w:r>
          </w:p>
        </w:tc>
      </w:tr>
      <w:tr w:rsidR="00303792" w:rsidRPr="0049649C" w14:paraId="189C7D3C" w14:textId="770CB1F3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5707" w14:textId="74271958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D573C" w14:textId="0D5760BD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-18.77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A6BB" w14:textId="2B8E3BEE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-19.01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BB7" w14:textId="0F03E996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608" w14:textId="400DFED5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10.97</w:t>
            </w:r>
          </w:p>
        </w:tc>
      </w:tr>
      <w:tr w:rsidR="00303792" w:rsidRPr="0049649C" w14:paraId="38ECA75F" w14:textId="39DCEB23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5DA" w14:textId="4135F3B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B09D" w14:textId="52E255B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4769" w14:textId="147014EA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-17.93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19D" w14:textId="36C662D9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733" w14:textId="27E90BC7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9.03</w:t>
            </w:r>
          </w:p>
        </w:tc>
      </w:tr>
      <w:tr w:rsidR="00303792" w:rsidRPr="0049649C" w14:paraId="4A17CA12" w14:textId="7B1ECC70" w:rsidTr="00303792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D23" w14:textId="61C3C79E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C8BD" w14:textId="28EA812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-20.22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EB3A" w14:textId="0FBDDCC4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-20.05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E918" w14:textId="4C9BB131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219" w14:textId="2996952F" w:rsidR="00303792" w:rsidRPr="0049649C" w:rsidRDefault="00303792" w:rsidP="00B40DBA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9.90</w:t>
            </w:r>
          </w:p>
        </w:tc>
      </w:tr>
    </w:tbl>
    <w:p w14:paraId="20D131FE" w14:textId="77777777" w:rsidR="00B40DBA" w:rsidRPr="00B40DBA" w:rsidRDefault="00B40DBA" w:rsidP="00B40DBA"/>
    <w:p w14:paraId="1F82ED56" w14:textId="16AAFFFA" w:rsidR="006F4155" w:rsidRPr="0049649C" w:rsidRDefault="0028562C" w:rsidP="006F4155">
      <w:pPr>
        <w:rPr>
          <w:rFonts w:ascii="Times New Roman" w:hAnsi="Times New Roman"/>
          <w:b/>
        </w:rPr>
      </w:pPr>
      <w:r w:rsidRPr="0049649C">
        <w:rPr>
          <w:rFonts w:ascii="Times New Roman" w:hAnsi="Times New Roman"/>
          <w:b/>
        </w:rPr>
        <w:t xml:space="preserve">Standard </w:t>
      </w:r>
      <w:r w:rsidR="006F4155" w:rsidRPr="0049649C">
        <w:rPr>
          <w:rFonts w:ascii="Times New Roman" w:hAnsi="Times New Roman"/>
          <w:b/>
        </w:rPr>
        <w:t>Uncertainty</w:t>
      </w:r>
    </w:p>
    <w:p w14:paraId="7CD7C691" w14:textId="26851430" w:rsidR="006F4155" w:rsidRPr="0049649C" w:rsidRDefault="0028562C" w:rsidP="006F4155">
      <w:pPr>
        <w:rPr>
          <w:rFonts w:ascii="Times New Roman" w:hAnsi="Times New Roman"/>
          <w:b/>
        </w:rPr>
      </w:pPr>
      <w:r w:rsidRPr="0049649C">
        <w:rPr>
          <w:rFonts w:ascii="Times New Roman" w:hAnsi="Times New Roman"/>
        </w:rPr>
        <w:t>Standard</w:t>
      </w:r>
      <w:r w:rsidR="006F4155" w:rsidRPr="0049649C">
        <w:rPr>
          <w:rFonts w:ascii="Times New Roman" w:hAnsi="Times New Roman"/>
        </w:rPr>
        <w:t xml:space="preserve"> uncertainty for the </w:t>
      </w:r>
      <w:r w:rsidR="006F4155" w:rsidRPr="0049649C">
        <w:rPr>
          <w:rFonts w:ascii="Times New Roman" w:hAnsi="Times New Roman"/>
          <w:i/>
        </w:rPr>
        <w:t>δ</w:t>
      </w:r>
      <w:r w:rsidR="006F4155" w:rsidRPr="0049649C">
        <w:rPr>
          <w:rFonts w:ascii="Times New Roman" w:hAnsi="Times New Roman"/>
          <w:vertAlign w:val="superscript"/>
        </w:rPr>
        <w:t>13</w:t>
      </w:r>
      <w:r w:rsidR="006F4155" w:rsidRPr="0049649C">
        <w:rPr>
          <w:rFonts w:ascii="Times New Roman" w:hAnsi="Times New Roman"/>
        </w:rPr>
        <w:t xml:space="preserve">C and </w:t>
      </w:r>
      <w:r w:rsidR="006F4155" w:rsidRPr="0049649C">
        <w:rPr>
          <w:rFonts w:ascii="Times New Roman" w:hAnsi="Times New Roman"/>
          <w:i/>
        </w:rPr>
        <w:t>δ</w:t>
      </w:r>
      <w:r w:rsidR="006F4155" w:rsidRPr="0049649C">
        <w:rPr>
          <w:rFonts w:ascii="Times New Roman" w:hAnsi="Times New Roman"/>
          <w:vertAlign w:val="superscript"/>
        </w:rPr>
        <w:t>15</w:t>
      </w:r>
      <w:r w:rsidR="006F4155" w:rsidRPr="0049649C">
        <w:rPr>
          <w:rFonts w:ascii="Times New Roman" w:hAnsi="Times New Roman"/>
        </w:rPr>
        <w:t>N measurements of the samples (</w:t>
      </w:r>
      <w:r w:rsidR="006F4155" w:rsidRPr="0049649C">
        <w:rPr>
          <w:rFonts w:ascii="Times New Roman" w:hAnsi="Times New Roman"/>
          <w:i/>
        </w:rPr>
        <w:t>u</w:t>
      </w:r>
      <w:r w:rsidR="006F4155" w:rsidRPr="0049649C">
        <w:rPr>
          <w:rFonts w:ascii="Times New Roman" w:hAnsi="Times New Roman"/>
          <w:i/>
          <w:vertAlign w:val="subscript"/>
        </w:rPr>
        <w:t>s</w:t>
      </w:r>
      <w:r w:rsidR="006F4155" w:rsidRPr="0049649C">
        <w:rPr>
          <w:rFonts w:ascii="Times New Roman" w:hAnsi="Times New Roman"/>
        </w:rPr>
        <w:t xml:space="preserve">) was estimated following </w:t>
      </w:r>
      <w:r w:rsidR="0049649C" w:rsidRPr="0049649C">
        <w:rPr>
          <w:rFonts w:ascii="Times New Roman" w:hAnsi="Times New Roman"/>
        </w:rPr>
        <w:t xml:space="preserve">(Insert appropriate reference) and was determined to be ±0.20 ‰ for </w:t>
      </w:r>
      <w:r w:rsidR="0049649C" w:rsidRPr="0049649C">
        <w:rPr>
          <w:rFonts w:ascii="Times New Roman" w:hAnsi="Times New Roman"/>
          <w:i/>
        </w:rPr>
        <w:t>δ</w:t>
      </w:r>
      <w:r w:rsidR="0049649C" w:rsidRPr="0049649C">
        <w:rPr>
          <w:rFonts w:ascii="Times New Roman" w:hAnsi="Times New Roman"/>
          <w:vertAlign w:val="superscript"/>
        </w:rPr>
        <w:t>13</w:t>
      </w:r>
      <w:r w:rsidR="0049649C" w:rsidRPr="0049649C">
        <w:rPr>
          <w:rFonts w:ascii="Times New Roman" w:hAnsi="Times New Roman"/>
        </w:rPr>
        <w:t xml:space="preserve">C and ±0.24 ‰ for </w:t>
      </w:r>
      <w:r w:rsidR="0049649C" w:rsidRPr="0049649C">
        <w:rPr>
          <w:rFonts w:ascii="Times New Roman" w:hAnsi="Times New Roman"/>
          <w:i/>
        </w:rPr>
        <w:t>δ</w:t>
      </w:r>
      <w:r w:rsidR="0049649C" w:rsidRPr="0049649C">
        <w:rPr>
          <w:rFonts w:ascii="Times New Roman" w:hAnsi="Times New Roman"/>
          <w:vertAlign w:val="superscript"/>
        </w:rPr>
        <w:t>15</w:t>
      </w:r>
      <w:r w:rsidR="0049649C" w:rsidRPr="0049649C">
        <w:rPr>
          <w:rFonts w:ascii="Times New Roman" w:hAnsi="Times New Roman"/>
        </w:rPr>
        <w:t>N</w:t>
      </w:r>
      <w:r w:rsidR="006F4155" w:rsidRPr="0049649C">
        <w:rPr>
          <w:rFonts w:ascii="Times New Roman" w:hAnsi="Times New Roman"/>
        </w:rPr>
        <w:t xml:space="preserve">. </w:t>
      </w:r>
    </w:p>
    <w:p w14:paraId="7CE9B011" w14:textId="4D2D1D04" w:rsidR="00861254" w:rsidRDefault="00861254">
      <w:pPr>
        <w:spacing w:after="0"/>
      </w:pPr>
      <w:r>
        <w:br w:type="page"/>
      </w:r>
    </w:p>
    <w:p w14:paraId="7A1D0B74" w14:textId="77777777" w:rsidR="00D11208" w:rsidRDefault="00D11208" w:rsidP="006F4155">
      <w:pPr>
        <w:rPr>
          <w:b/>
        </w:rPr>
        <w:sectPr w:rsidR="00D11208" w:rsidSect="00015A4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6B1FD1" w14:textId="77777777" w:rsidR="006C3804" w:rsidRPr="00015A4C" w:rsidRDefault="006C3804" w:rsidP="006C3804">
      <w:pPr>
        <w:keepNext/>
        <w:contextualSpacing/>
        <w:rPr>
          <w:rFonts w:ascii="Times New Roman" w:hAnsi="Times New Roman"/>
          <w:b/>
        </w:rPr>
      </w:pPr>
    </w:p>
    <w:p w14:paraId="6D0F1391" w14:textId="77777777" w:rsidR="00015A4C" w:rsidRDefault="00015A4C">
      <w:pPr>
        <w:rPr>
          <w:rFonts w:ascii="Times New Roman" w:hAnsi="Times New Roman"/>
        </w:rPr>
      </w:pPr>
    </w:p>
    <w:p w14:paraId="766EA2A0" w14:textId="0F01332D" w:rsidR="00015A4C" w:rsidRPr="00E620BD" w:rsidRDefault="00E620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</w:t>
      </w:r>
    </w:p>
    <w:p w14:paraId="20A8A3BD" w14:textId="77777777" w:rsidR="0049649C" w:rsidRPr="0049649C" w:rsidRDefault="00015A4C" w:rsidP="0049649C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9649C" w:rsidRPr="0049649C">
        <w:rPr>
          <w:noProof/>
        </w:rPr>
        <w:t>Qi H, Coplen TB, Geilmann H, Brand WA, Böhlke JK. 2003. Two new organic reference materials for δ</w:t>
      </w:r>
      <w:r w:rsidR="0049649C" w:rsidRPr="0049649C">
        <w:rPr>
          <w:noProof/>
          <w:vertAlign w:val="superscript"/>
        </w:rPr>
        <w:t>13</w:t>
      </w:r>
      <w:r w:rsidR="0049649C" w:rsidRPr="0049649C">
        <w:rPr>
          <w:noProof/>
        </w:rPr>
        <w:t>C and δ</w:t>
      </w:r>
      <w:r w:rsidR="0049649C" w:rsidRPr="0049649C">
        <w:rPr>
          <w:noProof/>
          <w:vertAlign w:val="superscript"/>
        </w:rPr>
        <w:t>15</w:t>
      </w:r>
      <w:r w:rsidR="0049649C" w:rsidRPr="0049649C">
        <w:rPr>
          <w:noProof/>
        </w:rPr>
        <w:t>N measurements and a new value for the δ</w:t>
      </w:r>
      <w:r w:rsidR="0049649C" w:rsidRPr="0049649C">
        <w:rPr>
          <w:noProof/>
          <w:vertAlign w:val="superscript"/>
        </w:rPr>
        <w:t>13</w:t>
      </w:r>
      <w:r w:rsidR="0049649C" w:rsidRPr="0049649C">
        <w:rPr>
          <w:noProof/>
        </w:rPr>
        <w:t xml:space="preserve">C of NBS 22 oil. </w:t>
      </w:r>
      <w:r w:rsidR="0049649C" w:rsidRPr="0049649C">
        <w:rPr>
          <w:i/>
          <w:noProof/>
        </w:rPr>
        <w:t>Rapid Communications in Mass Spectrometry</w:t>
      </w:r>
      <w:r w:rsidR="0049649C" w:rsidRPr="0049649C">
        <w:rPr>
          <w:noProof/>
        </w:rPr>
        <w:t xml:space="preserve"> </w:t>
      </w:r>
      <w:r w:rsidR="0049649C" w:rsidRPr="0049649C">
        <w:rPr>
          <w:b/>
          <w:noProof/>
        </w:rPr>
        <w:t>17</w:t>
      </w:r>
      <w:r w:rsidR="0049649C" w:rsidRPr="0049649C">
        <w:rPr>
          <w:noProof/>
        </w:rPr>
        <w:t>: 2483-2487.</w:t>
      </w:r>
    </w:p>
    <w:p w14:paraId="4C43222C" w14:textId="7FA2B938" w:rsidR="006C3804" w:rsidRPr="00015A4C" w:rsidRDefault="00015A4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6C3804" w:rsidRPr="00015A4C" w:rsidSect="00E62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 J Osteoarchae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pwdfwtmws9seez5wep555b95tt22w522te&quot;&gt;My EndNote Library&lt;record-ids&gt;&lt;item&gt;8181&lt;/item&gt;&lt;/record-ids&gt;&lt;/item&gt;&lt;/Libraries&gt;"/>
  </w:docVars>
  <w:rsids>
    <w:rsidRoot w:val="006C3804"/>
    <w:rsid w:val="00015A4C"/>
    <w:rsid w:val="001C45D4"/>
    <w:rsid w:val="001F3B85"/>
    <w:rsid w:val="00245868"/>
    <w:rsid w:val="0026381D"/>
    <w:rsid w:val="0028562C"/>
    <w:rsid w:val="00303792"/>
    <w:rsid w:val="00315D10"/>
    <w:rsid w:val="00474410"/>
    <w:rsid w:val="0049649C"/>
    <w:rsid w:val="00583B8E"/>
    <w:rsid w:val="00600A8B"/>
    <w:rsid w:val="00673081"/>
    <w:rsid w:val="006C3804"/>
    <w:rsid w:val="006F4155"/>
    <w:rsid w:val="00815C26"/>
    <w:rsid w:val="0084224C"/>
    <w:rsid w:val="00861254"/>
    <w:rsid w:val="00A04A94"/>
    <w:rsid w:val="00AA1A4E"/>
    <w:rsid w:val="00B40DBA"/>
    <w:rsid w:val="00B42BEB"/>
    <w:rsid w:val="00CB2BF0"/>
    <w:rsid w:val="00D11208"/>
    <w:rsid w:val="00DD3429"/>
    <w:rsid w:val="00E11CC0"/>
    <w:rsid w:val="00E620BD"/>
    <w:rsid w:val="00EE5F2F"/>
    <w:rsid w:val="00EF1933"/>
    <w:rsid w:val="00F358BF"/>
    <w:rsid w:val="00F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2D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C3804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C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8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04"/>
    <w:rPr>
      <w:rFonts w:ascii="Lucida Grande" w:eastAsia="Cambr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015A4C"/>
    <w:pPr>
      <w:spacing w:after="0"/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rsid w:val="00015A4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0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C3804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C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8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04"/>
    <w:rPr>
      <w:rFonts w:ascii="Lucida Grande" w:eastAsia="Cambr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015A4C"/>
    <w:pPr>
      <w:spacing w:after="0"/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rsid w:val="00015A4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871</Words>
  <Characters>4969</Characters>
  <Application>Microsoft Macintosh Word</Application>
  <DocSecurity>0</DocSecurity>
  <Lines>41</Lines>
  <Paragraphs>11</Paragraphs>
  <ScaleCrop>false</ScaleCrop>
  <Company>Trent University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Szpak</dc:creator>
  <cp:keywords/>
  <dc:description/>
  <cp:lastModifiedBy>Paul Szpak</cp:lastModifiedBy>
  <cp:revision>9</cp:revision>
  <dcterms:created xsi:type="dcterms:W3CDTF">2017-03-25T03:34:00Z</dcterms:created>
  <dcterms:modified xsi:type="dcterms:W3CDTF">2017-04-21T13:31:00Z</dcterms:modified>
</cp:coreProperties>
</file>